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DB9" w:rsidRPr="00627DB9" w:rsidRDefault="00627DB9" w:rsidP="00627DB9">
      <w:pPr>
        <w:keepNext/>
        <w:spacing w:before="240" w:after="60" w:line="240" w:lineRule="auto"/>
        <w:outlineLvl w:val="3"/>
        <w:rPr>
          <w:rFonts w:ascii="Times New Roman" w:eastAsia="Times New Roman" w:hAnsi="Times New Roman" w:cs="Times New Roman"/>
          <w:b/>
          <w:bCs/>
          <w:sz w:val="28"/>
          <w:szCs w:val="28"/>
          <w:lang w:val="en-US"/>
        </w:rPr>
      </w:pPr>
      <w:bookmarkStart w:id="0" w:name="_Toc256001341"/>
      <w:r w:rsidRPr="00627DB9">
        <w:rPr>
          <w:rFonts w:ascii="Times New Roman" w:eastAsia="Times New Roman" w:hAnsi="Times New Roman" w:cs="Times New Roman"/>
          <w:b/>
          <w:bCs/>
          <w:noProof/>
          <w:sz w:val="28"/>
          <w:szCs w:val="28"/>
          <w:lang w:val="en-US"/>
        </w:rPr>
        <w:t>II.А.2. - Хуманно отношение към животните и антимикробна резистентност</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II.А.2.</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Хуманно отношение към животните и антимикробна резистентност</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ENVCLIM(70) - Задължения в областта на околната среда и климата и други задължения в областта на управлението</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O.18. Брой на животинските единици, ползващи се от подпомагане за мерки, насочени към хуманното отношение към животните, здравеопазването или повишаването на биологичната сигурност</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Приемственост между поколенията: Не</w:t>
            </w:r>
          </w:p>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Околна среда: Да</w:t>
            </w:r>
          </w:p>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Система за облекчения за екосхеми: Не</w:t>
            </w:r>
          </w:p>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Подход LEADER: Не</w:t>
            </w:r>
          </w:p>
        </w:tc>
      </w:tr>
    </w:tbl>
    <w:p w:rsidR="00627DB9" w:rsidRPr="00627DB9" w:rsidRDefault="00627DB9" w:rsidP="00627DB9">
      <w:pPr>
        <w:spacing w:before="240" w:after="60" w:line="240" w:lineRule="auto"/>
        <w:outlineLvl w:val="4"/>
        <w:rPr>
          <w:rFonts w:ascii="Times New Roman" w:eastAsia="Times New Roman" w:hAnsi="Times New Roman" w:cs="Times New Roman"/>
          <w:bCs/>
          <w:i/>
          <w:iCs/>
          <w:color w:val="000000"/>
          <w:sz w:val="24"/>
          <w:szCs w:val="26"/>
          <w:lang w:val="en-US"/>
        </w:rPr>
      </w:pPr>
      <w:bookmarkStart w:id="1" w:name="_Toc256001342"/>
      <w:r w:rsidRPr="00627DB9">
        <w:rPr>
          <w:rFonts w:ascii="Times New Roman" w:eastAsia="Times New Roman" w:hAnsi="Times New Roman" w:cs="Times New Roman"/>
          <w:bCs/>
          <w:i/>
          <w:iCs/>
          <w:noProof/>
          <w:color w:val="000000"/>
          <w:sz w:val="24"/>
          <w:szCs w:val="26"/>
          <w:lang w:val="en-US"/>
        </w:rPr>
        <w:t>1 Териториално приложение и ако е уместно, регионално измерение</w:t>
      </w:r>
      <w:bookmarkEnd w:id="1"/>
    </w:p>
    <w:p w:rsidR="00627DB9" w:rsidRPr="00627DB9" w:rsidRDefault="00627DB9" w:rsidP="00627DB9">
      <w:pPr>
        <w:spacing w:after="0" w:line="240" w:lineRule="auto"/>
        <w:rPr>
          <w:rFonts w:ascii="Times New Roman" w:eastAsia="Times New Roman" w:hAnsi="Times New Roman" w:cs="Times New Roman"/>
          <w:color w:val="000000"/>
          <w:sz w:val="0"/>
          <w:szCs w:val="24"/>
          <w:lang w:val="en-US"/>
        </w:rPr>
      </w:pPr>
      <w:r w:rsidRPr="00627DB9">
        <w:rPr>
          <w:rFonts w:ascii="Times New Roman" w:eastAsia="Times New Roman" w:hAnsi="Times New Roman" w:cs="Times New Roman"/>
          <w:noProof/>
          <w:color w:val="000000"/>
          <w:sz w:val="24"/>
          <w:szCs w:val="24"/>
          <w:lang w:val="en-US"/>
        </w:rPr>
        <w:t xml:space="preserve">Териториално приложение: </w:t>
      </w:r>
      <w:r w:rsidRPr="00627DB9">
        <w:rPr>
          <w:rFonts w:ascii="Times New Roman" w:eastAsia="Times New Roman" w:hAnsi="Times New Roman" w:cs="Times New Roman"/>
          <w:b/>
          <w:noProof/>
          <w:color w:val="000000"/>
          <w:sz w:val="24"/>
          <w:szCs w:val="24"/>
          <w:lang w:val="en-US"/>
        </w:rPr>
        <w:t>Национално равнище</w:t>
      </w:r>
    </w:p>
    <w:p w:rsidR="00627DB9" w:rsidRPr="00627DB9" w:rsidRDefault="00627DB9" w:rsidP="00627DB9">
      <w:pPr>
        <w:spacing w:after="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627DB9" w:rsidRPr="00627DB9" w:rsidTr="00517E0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Описание</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 xml:space="preserve">България </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NUTS 0 BG България</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2" w:name="_Toc256001343"/>
      <w:r w:rsidRPr="00627DB9">
        <w:rPr>
          <w:rFonts w:ascii="Times New Roman" w:eastAsia="Times New Roman" w:hAnsi="Times New Roman" w:cs="Times New Roman"/>
          <w:bCs/>
          <w:iCs/>
          <w:noProof/>
          <w:color w:val="000000"/>
          <w:sz w:val="24"/>
          <w:szCs w:val="26"/>
          <w:lang w:val="en-US"/>
        </w:rPr>
        <w:t>2 Свързани специфични цели, междусекторна цел и уместни секторни цели</w:t>
      </w:r>
      <w:bookmarkEnd w:id="2"/>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627DB9" w:rsidRPr="00627DB9" w:rsidTr="00517E0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Код на СПЕЦИФИЧНАТА ЦЕЛ НА ОСП + описание</w:t>
            </w:r>
            <w:r w:rsidRPr="00627DB9">
              <w:rPr>
                <w:rFonts w:ascii="Times New Roman" w:eastAsia="Times New Roman" w:hAnsi="Times New Roman" w:cs="Times New Roman"/>
                <w:noProof/>
                <w:color w:val="000000"/>
                <w:sz w:val="20"/>
                <w:szCs w:val="24"/>
                <w:lang w:val="en-US"/>
              </w:rPr>
              <w:t xml:space="preserve"> Препоръчителните специфични цели на ОСП за този вид интервенция са обозначени с получер шрифт</w:t>
            </w:r>
          </w:p>
        </w:tc>
      </w:tr>
      <w:tr w:rsidR="00627DB9" w:rsidRPr="00627DB9" w:rsidTr="00517E0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3" w:name="_Toc256001344"/>
      <w:r w:rsidRPr="00627DB9">
        <w:rPr>
          <w:rFonts w:ascii="Times New Roman" w:eastAsia="Times New Roman" w:hAnsi="Times New Roman" w:cs="Times New Roman"/>
          <w:bCs/>
          <w:iCs/>
          <w:noProof/>
          <w:color w:val="000000"/>
          <w:sz w:val="24"/>
          <w:szCs w:val="26"/>
          <w:lang w:val="en-US"/>
        </w:rPr>
        <w:t>3 Потребности, обхванати от интервенцията</w:t>
      </w:r>
      <w:bookmarkEnd w:id="3"/>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Разгледана в стратегически план по ОСП</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П.9.6.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Подобряване отглеждането на животните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Да</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4" w:name="_Toc256001345"/>
      <w:r w:rsidRPr="00627DB9">
        <w:rPr>
          <w:rFonts w:ascii="Times New Roman" w:eastAsia="Times New Roman" w:hAnsi="Times New Roman" w:cs="Times New Roman"/>
          <w:bCs/>
          <w:iCs/>
          <w:noProof/>
          <w:color w:val="000000"/>
          <w:sz w:val="24"/>
          <w:szCs w:val="26"/>
          <w:lang w:val="en-US"/>
        </w:rPr>
        <w:t>4 Показател(и) за резултатите</w:t>
      </w:r>
      <w:bookmarkEnd w:id="4"/>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Код на ПОКАЗАТЕЛИТЕ ЗА РЕЗУЛТАТИТЕ + описание</w:t>
            </w:r>
            <w:r w:rsidRPr="00627DB9">
              <w:rPr>
                <w:rFonts w:ascii="Times New Roman" w:eastAsia="Times New Roman" w:hAnsi="Times New Roman" w:cs="Times New Roman"/>
                <w:noProof/>
                <w:color w:val="000000"/>
                <w:sz w:val="20"/>
                <w:szCs w:val="24"/>
                <w:lang w:val="en-US"/>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Дял на животинските единици, засегнати от подпомогнати действия за ограничаване използването на антимикробни средства (предотвратяване/намаляване)</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R.44 Дял на животинските единици, попадащи в обхвата на подпомогнати действия за подобряване на хуманното отношение към животните</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5" w:name="_Toc256001346"/>
      <w:r w:rsidRPr="00627DB9">
        <w:rPr>
          <w:rFonts w:ascii="Times New Roman" w:eastAsia="Times New Roman" w:hAnsi="Times New Roman" w:cs="Times New Roman"/>
          <w:bCs/>
          <w:iCs/>
          <w:noProof/>
          <w:color w:val="000000"/>
          <w:sz w:val="24"/>
          <w:szCs w:val="26"/>
          <w:lang w:val="en-US"/>
        </w:rPr>
        <w:t>5 Конкретен план, изисквания и условия за допустимост на интервенцията</w:t>
      </w:r>
      <w:bookmarkEnd w:id="5"/>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Чрез предвидените дейности по интервенцията ще се осигури по-дълъг период на пасищно отглеждане и повече свободно пространство на използваната площ над нормите за настаняване на отглежданите животни, което ще окаже благоприятно влияние върху тяхното здраве и благосъстояние, ще подобри жизнеността им и ще спомогне за повишаване накачеството на произведената продукция.</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xml:space="preserve">Интервенцията цели и намаляване употребата на антимикробните средства, като същевременно се подобри здравето на животните. Интервенцията адресира проблема с нарастващата заплаха от </w:t>
            </w:r>
            <w:r w:rsidRPr="00627DB9">
              <w:rPr>
                <w:rFonts w:ascii="Times New Roman" w:eastAsia="Times New Roman" w:hAnsi="Times New Roman" w:cs="Times New Roman"/>
                <w:noProof/>
                <w:sz w:val="24"/>
                <w:szCs w:val="24"/>
                <w:lang w:val="en-US"/>
              </w:rPr>
              <w:lastRenderedPageBreak/>
              <w:t>антимикробната резистентност (АМР), тъй като намаляването на употребата на антимикробни средства при животни, отглеждани за производство на храни, в дългосрочен план води до намаляване наличието на микроорганизми, резистентни на антимикробни средства при тези животни. Превенцията на инфекциите стои в основата на намаляването на употребата и необходимостта от антимикробни средства, поради което дейността е насочена към подобряване здравния статус на животните чрез изпълнение на мерки, които допринасят да се намали употребата на антибиотици и да се подобри устойчивостта на животните към инфекции, като същите не са задължителни и не се заплащат от държавния бюджет съгласно Националната програма за профилактика, надзор, контрол и ликвидиране на болестите по животните и не са забранени съгласно политиката на Европейската комисия за борба с болестите по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 интервенцията ще се предоставя финансова помощ за допълнителни разходи и пропуснати доходи, в следствие на доброволно поети едногодишни ангажименти за хуманно отношение към животните, както и намаляване антимикробната резистентност при отглеждане на ЕПЖ /говеда и биволи/ и ДПЖ /животни от рода на овцете и козите/.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Годишните плащания се предоставят при поемане на доброволен ангажимент за изпълнение на следните дейности или комбинация от тях, при отглеждане на ЕПЖ и ДПЖ: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Осигуряване на благоприятна жизнена среда/свободна подова площ на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Осигуряване на свободно отглеждане на открито;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Намаляване употребата на антимикробни средства.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1. Осигуряване на благоприятна жизнена среда/свободна подова площ на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Изпълнението на тази дейност изисква осигуряването на свободна използваема площ, не по-малка от 15 % над задължителния стандарт. Свободна използваема площ над задължителния стандарт, определен с минималните норми за настаняване следва да бъде осигурена за всички животни от допустимите категории по дейност за осигуряване на благоприятна жизнена среда/свободна подова площ, отглеждани в животновъдния обект, в който се изпълнява дейността. Дейността ще се изпълнява в две направления:</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Осигуряване на благоприятна жизнена среда/свободна подова площ за ЕПЖ;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Осигуряване на благоприятна жизнена среда/свободна подова площ за ДПЖ;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2. Осигуряване на свободно отглеждане на открито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Дейността се прилага за следните категории животни:</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говеда и биволи над 6-месечна възраст;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животни от рода на овцете и козите.</w:t>
            </w:r>
          </w:p>
          <w:p w:rsidR="00627DB9" w:rsidRPr="00627DB9" w:rsidRDefault="00627DB9" w:rsidP="0077509A">
            <w:pPr>
              <w:spacing w:before="40" w:after="40" w:line="240" w:lineRule="auto"/>
              <w:jc w:val="both"/>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xml:space="preserve">Заявените по дейността животни следва поне 160 дни годишно да бъдат отглеждани на открито, от които 40 дни могат да бъдат на двора, но минимум 120 дни за свободно пашуване. Пашата от поне 120 дни в годината се извършва в периода между 15 март и 15 ноември, при спазване на гъстота на заявените животински единици на цялата пасищна площ на стопанството, на която се извършва пашата в периода на извършване на дейността, до не повече от 2 ЖЕ/хектар. </w:t>
            </w:r>
            <w:r w:rsidR="0077509A" w:rsidRPr="0077509A">
              <w:rPr>
                <w:rFonts w:ascii="Times New Roman" w:eastAsia="Times New Roman" w:hAnsi="Times New Roman" w:cs="Times New Roman"/>
                <w:noProof/>
                <w:sz w:val="24"/>
                <w:szCs w:val="24"/>
                <w:lang w:val="en-US"/>
              </w:rPr>
              <w:t xml:space="preserve">От 2025 г. е предвидено в обхвата на определяне на гъстота на всички пасищни животни към всички постоянно затревени площи да бъдат включени и обработваеми земи, заети с фуражни култури и/или протеинови култури, при условие, че в периода на свободно отглеждане на животните е осигурена достатъчно пасищна площ с цел свеждане до минимум на прекомерната паша (преизпасването), деградацията на почвата, ерозията и замърсяването, причинени от животински тор. </w:t>
            </w:r>
            <w:r w:rsidRPr="00627DB9">
              <w:rPr>
                <w:rFonts w:ascii="Times New Roman" w:eastAsia="Times New Roman" w:hAnsi="Times New Roman" w:cs="Times New Roman"/>
                <w:noProof/>
                <w:sz w:val="24"/>
                <w:szCs w:val="24"/>
                <w:lang w:val="en-US"/>
              </w:rPr>
              <w:t xml:space="preserve"> </w:t>
            </w:r>
            <w:r w:rsidRPr="00627DB9">
              <w:rPr>
                <w:rFonts w:ascii="Times New Roman" w:eastAsia="Times New Roman" w:hAnsi="Times New Roman" w:cs="Times New Roman"/>
                <w:strike/>
                <w:noProof/>
                <w:color w:val="FF0000"/>
                <w:sz w:val="24"/>
                <w:szCs w:val="24"/>
                <w:lang w:val="en-US"/>
              </w:rPr>
              <w:t>При заявяване на дейността з</w:t>
            </w:r>
            <w:r w:rsidR="00DB3231" w:rsidRPr="00DB3231">
              <w:rPr>
                <w:rFonts w:ascii="Times New Roman" w:eastAsia="Times New Roman" w:hAnsi="Times New Roman" w:cs="Times New Roman"/>
                <w:noProof/>
                <w:color w:val="FF0000"/>
                <w:sz w:val="24"/>
                <w:szCs w:val="24"/>
                <w:lang w:val="bg-BG"/>
              </w:rPr>
              <w:t>З</w:t>
            </w:r>
            <w:r w:rsidRPr="00627DB9">
              <w:rPr>
                <w:rFonts w:ascii="Times New Roman" w:eastAsia="Times New Roman" w:hAnsi="Times New Roman" w:cs="Times New Roman"/>
                <w:noProof/>
                <w:sz w:val="24"/>
                <w:szCs w:val="24"/>
                <w:lang w:val="en-US"/>
              </w:rPr>
              <w:t>емеделският стопанин има съотношение на пасищни животни към всички постоянно затревени площи и площи, заети с фуражни култури и/или протеинови култури в стопанството в размер до не повече от 2 ЖЕ/хектар. На поне едно от всяко 50-то животно от заявените по дейността се поставя устройство позволяващо проследяване на движението му след предоставянето му на земеделския стопанин.</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3. Намаляване употребата на антимикробни средства: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xml:space="preserve">Дейността изисква изпълнение на програма за превенция и контрол на значимите заболявания на ниво животновъден обект. Прилагането на ваксинацията е един от методите за превенцията на инфекциите, която се използва за намаляването на употребата и необходимостта от антимикробни средства. Подпомагане по дейността се отпуска за покриване на допълнителни разходи за </w:t>
            </w:r>
            <w:r w:rsidRPr="00627DB9">
              <w:rPr>
                <w:rFonts w:ascii="Times New Roman" w:eastAsia="Times New Roman" w:hAnsi="Times New Roman" w:cs="Times New Roman"/>
                <w:noProof/>
                <w:sz w:val="24"/>
                <w:szCs w:val="24"/>
                <w:lang w:val="en-US"/>
              </w:rPr>
              <w:lastRenderedPageBreak/>
              <w:t>имунопрофилактични мероприятия на значими бактериални, както и значими вирусни заболявания, причиняващи вторични инфекции, за които има одобрени ваксини, но същите не попадат в обхвата на мерките от Националната програма за профилактика, надзор, контрол и ликвидиране на болестите по животните, включително зоонозите, финансирани от държавния бюджет. За периода 2022-2024 г. с Решение № 156 от 18 март 2022 г. на МС е одобрена Националната програма за профилактика, надзор</w:t>
            </w:r>
            <w:r w:rsidR="00A15427" w:rsidRPr="00A15427">
              <w:rPr>
                <w:rFonts w:ascii="Times New Roman" w:eastAsia="Times New Roman" w:hAnsi="Times New Roman" w:cs="Times New Roman"/>
                <w:noProof/>
                <w:color w:val="FF0000"/>
                <w:sz w:val="24"/>
                <w:szCs w:val="24"/>
                <w:lang w:val="bg-BG"/>
              </w:rPr>
              <w:t>, контрол</w:t>
            </w:r>
            <w:r w:rsidRPr="00627DB9">
              <w:rPr>
                <w:rFonts w:ascii="Times New Roman" w:eastAsia="Times New Roman" w:hAnsi="Times New Roman" w:cs="Times New Roman"/>
                <w:noProof/>
                <w:color w:val="FF0000"/>
                <w:sz w:val="24"/>
                <w:szCs w:val="24"/>
                <w:lang w:val="en-US"/>
              </w:rPr>
              <w:t xml:space="preserve"> </w:t>
            </w:r>
            <w:r w:rsidRPr="00627DB9">
              <w:rPr>
                <w:rFonts w:ascii="Times New Roman" w:eastAsia="Times New Roman" w:hAnsi="Times New Roman" w:cs="Times New Roman"/>
                <w:noProof/>
                <w:sz w:val="24"/>
                <w:szCs w:val="24"/>
                <w:lang w:val="en-US"/>
              </w:rPr>
              <w:t xml:space="preserve">и ликвидиране на болестите по животните, включително зоонозите, в Република България за периода 2022 – 2024 г. </w:t>
            </w:r>
            <w:r w:rsidR="00A15427" w:rsidRPr="00A15427">
              <w:rPr>
                <w:rFonts w:ascii="Times New Roman" w:eastAsia="Times New Roman" w:hAnsi="Times New Roman" w:cs="Times New Roman"/>
                <w:noProof/>
                <w:color w:val="FF0000"/>
                <w:sz w:val="24"/>
                <w:szCs w:val="24"/>
                <w:lang w:val="bg-BG"/>
              </w:rPr>
              <w:t xml:space="preserve">С </w:t>
            </w:r>
            <w:r w:rsidR="00A15427" w:rsidRPr="00A15427">
              <w:rPr>
                <w:rFonts w:ascii="Times New Roman" w:eastAsia="Times New Roman" w:hAnsi="Times New Roman" w:cs="Times New Roman"/>
                <w:noProof/>
                <w:color w:val="FF0000"/>
                <w:sz w:val="24"/>
                <w:szCs w:val="24"/>
                <w:lang w:val="en-US"/>
              </w:rPr>
              <w:t xml:space="preserve">Решение № </w:t>
            </w:r>
            <w:r w:rsidR="00A15427" w:rsidRPr="00A15427">
              <w:rPr>
                <w:rFonts w:ascii="Times New Roman" w:eastAsia="Times New Roman" w:hAnsi="Times New Roman" w:cs="Times New Roman"/>
                <w:noProof/>
                <w:color w:val="FF0000"/>
                <w:sz w:val="24"/>
                <w:szCs w:val="24"/>
                <w:lang w:val="bg-BG"/>
              </w:rPr>
              <w:t>853</w:t>
            </w:r>
            <w:r w:rsidR="00A15427" w:rsidRPr="00A15427">
              <w:rPr>
                <w:rFonts w:ascii="Times New Roman" w:eastAsia="Times New Roman" w:hAnsi="Times New Roman" w:cs="Times New Roman"/>
                <w:noProof/>
                <w:color w:val="FF0000"/>
                <w:sz w:val="24"/>
                <w:szCs w:val="24"/>
                <w:lang w:val="en-US"/>
              </w:rPr>
              <w:t xml:space="preserve"> от 1</w:t>
            </w:r>
            <w:r w:rsidR="00A15427" w:rsidRPr="00A15427">
              <w:rPr>
                <w:rFonts w:ascii="Times New Roman" w:eastAsia="Times New Roman" w:hAnsi="Times New Roman" w:cs="Times New Roman"/>
                <w:noProof/>
                <w:color w:val="FF0000"/>
                <w:sz w:val="24"/>
                <w:szCs w:val="24"/>
                <w:lang w:val="bg-BG"/>
              </w:rPr>
              <w:t>2</w:t>
            </w:r>
            <w:r w:rsidR="00A15427" w:rsidRPr="00627DB9">
              <w:rPr>
                <w:rFonts w:ascii="Times New Roman" w:eastAsia="Times New Roman" w:hAnsi="Times New Roman" w:cs="Times New Roman"/>
                <w:noProof/>
                <w:color w:val="FF0000"/>
                <w:sz w:val="24"/>
                <w:szCs w:val="24"/>
                <w:lang w:val="en-US"/>
              </w:rPr>
              <w:t xml:space="preserve"> </w:t>
            </w:r>
            <w:r w:rsidR="00A15427" w:rsidRPr="00A15427">
              <w:rPr>
                <w:rFonts w:ascii="Times New Roman" w:eastAsia="Times New Roman" w:hAnsi="Times New Roman" w:cs="Times New Roman"/>
                <w:noProof/>
                <w:color w:val="FF0000"/>
                <w:sz w:val="24"/>
                <w:szCs w:val="24"/>
                <w:lang w:val="bg-BG"/>
              </w:rPr>
              <w:t>декември</w:t>
            </w:r>
            <w:r w:rsidR="00A15427" w:rsidRPr="00A15427">
              <w:rPr>
                <w:rFonts w:ascii="Times New Roman" w:eastAsia="Times New Roman" w:hAnsi="Times New Roman" w:cs="Times New Roman"/>
                <w:noProof/>
                <w:color w:val="FF0000"/>
                <w:sz w:val="24"/>
                <w:szCs w:val="24"/>
                <w:lang w:val="en-US"/>
              </w:rPr>
              <w:t xml:space="preserve"> 202</w:t>
            </w:r>
            <w:r w:rsidR="00A15427" w:rsidRPr="00A15427">
              <w:rPr>
                <w:rFonts w:ascii="Times New Roman" w:eastAsia="Times New Roman" w:hAnsi="Times New Roman" w:cs="Times New Roman"/>
                <w:noProof/>
                <w:color w:val="FF0000"/>
                <w:sz w:val="24"/>
                <w:szCs w:val="24"/>
                <w:lang w:val="bg-BG"/>
              </w:rPr>
              <w:t>4</w:t>
            </w:r>
            <w:r w:rsidR="00A15427" w:rsidRPr="00627DB9">
              <w:rPr>
                <w:rFonts w:ascii="Times New Roman" w:eastAsia="Times New Roman" w:hAnsi="Times New Roman" w:cs="Times New Roman"/>
                <w:noProof/>
                <w:color w:val="FF0000"/>
                <w:sz w:val="24"/>
                <w:szCs w:val="24"/>
                <w:lang w:val="en-US"/>
              </w:rPr>
              <w:t xml:space="preserve"> г. на МС е одобрена Националната програма за профилактика, надзор</w:t>
            </w:r>
            <w:r w:rsidR="00A15427" w:rsidRPr="00A15427">
              <w:rPr>
                <w:rFonts w:ascii="Times New Roman" w:eastAsia="Times New Roman" w:hAnsi="Times New Roman" w:cs="Times New Roman"/>
                <w:noProof/>
                <w:color w:val="FF0000"/>
                <w:sz w:val="24"/>
                <w:szCs w:val="24"/>
                <w:lang w:val="bg-BG"/>
              </w:rPr>
              <w:t>, контрол</w:t>
            </w:r>
            <w:r w:rsidR="00A15427" w:rsidRPr="00627DB9">
              <w:rPr>
                <w:rFonts w:ascii="Times New Roman" w:eastAsia="Times New Roman" w:hAnsi="Times New Roman" w:cs="Times New Roman"/>
                <w:noProof/>
                <w:color w:val="FF0000"/>
                <w:sz w:val="24"/>
                <w:szCs w:val="24"/>
                <w:lang w:val="en-US"/>
              </w:rPr>
              <w:t xml:space="preserve"> и ликвидиране на болестите по животните, включително зоонозите, в Ре</w:t>
            </w:r>
            <w:r w:rsidR="00A15427" w:rsidRPr="00A15427">
              <w:rPr>
                <w:rFonts w:ascii="Times New Roman" w:eastAsia="Times New Roman" w:hAnsi="Times New Roman" w:cs="Times New Roman"/>
                <w:noProof/>
                <w:color w:val="FF0000"/>
                <w:sz w:val="24"/>
                <w:szCs w:val="24"/>
                <w:lang w:val="en-US"/>
              </w:rPr>
              <w:t>публика България за периода 202</w:t>
            </w:r>
            <w:r w:rsidR="00A15427" w:rsidRPr="00A15427">
              <w:rPr>
                <w:rFonts w:ascii="Times New Roman" w:eastAsia="Times New Roman" w:hAnsi="Times New Roman" w:cs="Times New Roman"/>
                <w:noProof/>
                <w:color w:val="FF0000"/>
                <w:sz w:val="24"/>
                <w:szCs w:val="24"/>
                <w:lang w:val="bg-BG"/>
              </w:rPr>
              <w:t>5</w:t>
            </w:r>
            <w:r w:rsidR="00A15427" w:rsidRPr="00A15427">
              <w:rPr>
                <w:rFonts w:ascii="Times New Roman" w:eastAsia="Times New Roman" w:hAnsi="Times New Roman" w:cs="Times New Roman"/>
                <w:noProof/>
                <w:color w:val="FF0000"/>
                <w:sz w:val="24"/>
                <w:szCs w:val="24"/>
                <w:lang w:val="en-US"/>
              </w:rPr>
              <w:t xml:space="preserve"> – 202</w:t>
            </w:r>
            <w:r w:rsidR="00A15427" w:rsidRPr="00A15427">
              <w:rPr>
                <w:rFonts w:ascii="Times New Roman" w:eastAsia="Times New Roman" w:hAnsi="Times New Roman" w:cs="Times New Roman"/>
                <w:noProof/>
                <w:color w:val="FF0000"/>
                <w:sz w:val="24"/>
                <w:szCs w:val="24"/>
                <w:lang w:val="bg-BG"/>
              </w:rPr>
              <w:t>7</w:t>
            </w:r>
            <w:r w:rsidR="00A15427" w:rsidRPr="00627DB9">
              <w:rPr>
                <w:rFonts w:ascii="Times New Roman" w:eastAsia="Times New Roman" w:hAnsi="Times New Roman" w:cs="Times New Roman"/>
                <w:noProof/>
                <w:color w:val="FF0000"/>
                <w:sz w:val="24"/>
                <w:szCs w:val="24"/>
                <w:lang w:val="en-US"/>
              </w:rPr>
              <w:t xml:space="preserve"> г. </w:t>
            </w:r>
            <w:r w:rsidRPr="00627DB9">
              <w:rPr>
                <w:rFonts w:ascii="Times New Roman" w:eastAsia="Times New Roman" w:hAnsi="Times New Roman" w:cs="Times New Roman"/>
                <w:noProof/>
                <w:sz w:val="24"/>
                <w:szCs w:val="24"/>
                <w:lang w:val="en-US"/>
              </w:rPr>
              <w:t>В част VII са включени профилактичните мероприятия на болести, които не се заплащат от държавния бюджет.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 дейността могат да се покриват и разходи, произтичащи от увеличения брой посещения от регистрирания ветеринарен лекар, сключил договор по чл. 137б, ал. 2 от ЗВД със земеделския стопанин, като честота е пропорционална на рисковете, свързани със съответния животновъден обект.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Въз основа на посещенията и проверките в животновъдния обект, регистрираният ветеринарен лекар изготвя програма за превенция и контрол на значимите заболявания за категориите животни, в която се включва: описание на епидемичната обстановка и съответната информация, използвана като основание за оценката, в т.ч. преценка от регистрирания ветеринарен лекар, обслужващ животновъдния обект, за необходимостта от назначаване и вземане на кръвни проби, като част от диагностиката за определяне на здравния статус на животните с оглед правилна преценка за кои болести да бъдат включени ваксини в имунопрофилктичния план/схема; основните и конкретни цели с избраната стратегия за ваксинация и план за профилактична ваксинация; животновъдните обекти и животни, в които се отглеждат допустимите категории животни и тези, в които трябва да бъде извършена ваксинация, ако се различават; освободени от ваксинация, и обосновката за това; предвидената крайна употреба на ваксинираните животни и продуктите; правилата за поставяне на ваксината и системата за следене на поставянето на ваксината; предвидената продължителност на ваксинацията — от началото на ваксинацията до приключване на надзора, провеждан след ваксинацията; обобщение на характеристиките на ваксината; хигиенните правила и правилата за биологична сигурност, които трябва да се прилагат; вид на провежданите лечения и количествата използвани антимикробни средства в животновъдния обект през предходни години, както и друга информация съгласно националното законодателство.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Изготвената програма от регистрирания ветеринарен лекар се заверява/одобрява от съответното ОДБХ, на територията на която се намира животновъдния обект.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Разходите за дейността са свързани с поставяне на ваксини, извършване на допълнителни прегледи от страна на регистрирания ветеринарен лекар, разходи за вземане на проби от животни /партиди продукти и др., като в ИС на БАБХ се въвежда информация относно ваксинацията, която включва информацията за животните, в съответствие с изискванията на нормативната уредба.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Списъкът на тези заболявания и информация за одобрените за тях ваксини се изготвя и одобрява от Българската агенция по безопасност на храните, като включва информация за видове и категории животни, период на прилагане и др.</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Животни от един и същи вид, заявени по интервенция I.В.1 - Еко схема за биологично земеделие (селскостопански животни) по чл. 31 или чл. 70 от Регламент (ЕС) 2021/2115, не са допустими за подпомагане по интервенцията „Хуманно отношение към животните и антимикробна резистентност“.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Подпомагането за свине и птици ще продължи по досегашния ред, чрез използване на инструмента за финансиране „Държавна помощ“.</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Активни земеделски стопани, отглеждащи едри преживни животни (ЕПЖ) и/или дребни преживни животни (ДПЖ).</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lastRenderedPageBreak/>
              <w:t>ИСАК базирана интервенция</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6" w:name="_Toc256001347"/>
      <w:r w:rsidRPr="00627DB9">
        <w:rPr>
          <w:rFonts w:ascii="Times New Roman" w:eastAsia="Times New Roman" w:hAnsi="Times New Roman" w:cs="Times New Roman"/>
          <w:bCs/>
          <w:iCs/>
          <w:noProof/>
          <w:color w:val="000000"/>
          <w:sz w:val="24"/>
          <w:szCs w:val="26"/>
          <w:lang w:val="en-US"/>
        </w:rPr>
        <w:t>6 Определяне на уместни базови характеристики</w:t>
      </w:r>
      <w:bookmarkEnd w:id="6"/>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Списък на приложимите стандарти за ДЗЕС и ЗИУ</w:t>
      </w:r>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Описание</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SMR09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Директива 2008/119/ЕО на Съвета от 18 декември 2008 г. за определяне на минимални стандарти за защита на телетата: членове 3 и 4</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SMR11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Директива 98/58/ЕО на Съвета от 20 юли 1998 г. относно защитата на животни, отглеждани за селскостопански цели: член 4</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Наредба № 14 от 2006 г. за минималните изисквания за хуманно отношение при отглеждане на телета;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Наредба № 16 от 2006 г. за защита и хуманно отношение при отглеждане и използване на селскостопански животни;</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Наредба № 44 от 20 април 2006 г. за ветеринарномедицинските изисквания към животновъдните обекти;</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Националната програма за профилактика, надзор, контрол и ликвидиране на болестите по животните, включително зоонозите;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proofErr w:type="gramStart"/>
            <w:r w:rsidRPr="00627DB9">
              <w:rPr>
                <w:rFonts w:ascii="Times New Roman" w:eastAsia="Times New Roman" w:hAnsi="Times New Roman" w:cs="Times New Roman"/>
                <w:noProof/>
                <w:sz w:val="24"/>
                <w:szCs w:val="24"/>
                <w:lang w:val="en-US"/>
              </w:rPr>
              <w:t>Националната мониторингова програма за контрол на остатъци от ветеринарномедицински продукти и замърсители от околната среда в живи животни и продукти от животински произход, разработвана от БАБХ и в съответствие с изискванията на Наредба № 11 от 14 юли 2021 г. за мерките за контрол върху определени субстанции и остатъци от тях в живи животни и храни от животински произход, предназначени за консумация от хора.</w:t>
            </w:r>
            <w:proofErr w:type="gramEnd"/>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Кандидатите спазват Законоустановените изисквания за управление (ЗИУ), съгласно законодателството на Съюза и националните стандарти за ДЗЕС, неразделна част от система от предварителни условия, описана в националния Стратегически план. Помощта се отпуска само за покриване на допълнителни разходи или пропуснати доходи, свързани с изпълнение на доброволни ангажименти, които надхвърлят задължителните стандарти или други изисквания и стандарти от националното законодателство.</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7" w:name="_Toc256001348"/>
      <w:r w:rsidRPr="00627DB9">
        <w:rPr>
          <w:rFonts w:ascii="Times New Roman" w:eastAsia="Times New Roman" w:hAnsi="Times New Roman" w:cs="Times New Roman"/>
          <w:bCs/>
          <w:iCs/>
          <w:noProof/>
          <w:color w:val="000000"/>
          <w:sz w:val="24"/>
          <w:szCs w:val="26"/>
          <w:lang w:val="en-US"/>
        </w:rPr>
        <w:t>7 Форма и ставка на подпомагане/суми/методи за изчисляване</w:t>
      </w:r>
      <w:bookmarkEnd w:id="7"/>
    </w:p>
    <w:p w:rsidR="00627DB9" w:rsidRPr="00627DB9" w:rsidRDefault="00627DB9" w:rsidP="00627DB9">
      <w:pPr>
        <w:spacing w:before="20" w:after="20" w:line="240" w:lineRule="auto"/>
        <w:rPr>
          <w:rFonts w:ascii="Times New Roman" w:eastAsia="Times New Roman" w:hAnsi="Times New Roman" w:cs="Times New Roman"/>
          <w:b/>
          <w:color w:val="000000"/>
          <w:sz w:val="24"/>
          <w:szCs w:val="24"/>
          <w:lang w:val="en-US"/>
        </w:rPr>
      </w:pPr>
      <w:r w:rsidRPr="00627DB9">
        <w:rPr>
          <w:rFonts w:ascii="Wingdings" w:eastAsia="Wingdings" w:hAnsi="Wingdings" w:cs="Wingdings"/>
          <w:b/>
          <w:noProof/>
          <w:color w:val="000000"/>
          <w:sz w:val="24"/>
          <w:szCs w:val="24"/>
          <w:lang w:val="en-US"/>
        </w:rPr>
        <w:t></w:t>
      </w:r>
      <w:r w:rsidRPr="00627DB9">
        <w:rPr>
          <w:rFonts w:ascii="Times New Roman" w:eastAsia="Times New Roman" w:hAnsi="Times New Roman" w:cs="Times New Roman"/>
          <w:b/>
          <w:noProof/>
          <w:color w:val="000000"/>
          <w:sz w:val="24"/>
          <w:szCs w:val="24"/>
          <w:lang w:val="en-US"/>
        </w:rPr>
        <w:t xml:space="preserve"> В обхвата на ИСАК</w:t>
      </w:r>
    </w:p>
    <w:p w:rsidR="00627DB9" w:rsidRPr="00627DB9" w:rsidRDefault="00627DB9" w:rsidP="00627DB9">
      <w:pPr>
        <w:spacing w:before="20" w:after="20" w:line="240" w:lineRule="auto"/>
        <w:rPr>
          <w:rFonts w:ascii="Times New Roman" w:eastAsia="Times New Roman" w:hAnsi="Times New Roman" w:cs="Times New Roman"/>
          <w:b/>
          <w:color w:val="000000"/>
          <w:sz w:val="24"/>
          <w:szCs w:val="24"/>
          <w:lang w:val="en-US"/>
        </w:rPr>
      </w:pPr>
      <w:r w:rsidRPr="00627DB9">
        <w:rPr>
          <w:rFonts w:ascii="Wingdings" w:eastAsia="Wingdings" w:hAnsi="Wingdings" w:cs="Wingdings"/>
          <w:b/>
          <w:noProof/>
          <w:color w:val="000000"/>
          <w:sz w:val="24"/>
          <w:szCs w:val="24"/>
          <w:lang w:val="en-US"/>
        </w:rPr>
        <w:t></w:t>
      </w:r>
      <w:r w:rsidRPr="00627DB9">
        <w:rPr>
          <w:rFonts w:ascii="Times New Roman" w:eastAsia="Times New Roman" w:hAnsi="Times New Roman" w:cs="Times New Roman"/>
          <w:b/>
          <w:noProof/>
          <w:color w:val="000000"/>
          <w:sz w:val="24"/>
          <w:szCs w:val="24"/>
          <w:lang w:val="en-US"/>
        </w:rPr>
        <w:t xml:space="preserve"> Извън обхвата на ИСАК</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8"/>
          <w:szCs w:val="24"/>
          <w:lang w:val="en-US"/>
        </w:rPr>
      </w:pPr>
      <w:r w:rsidRPr="00627DB9">
        <w:rPr>
          <w:rFonts w:ascii="Times New Roman" w:eastAsia="Times New Roman" w:hAnsi="Times New Roman" w:cs="Times New Roman"/>
          <w:noProof/>
          <w:color w:val="000000"/>
          <w:sz w:val="28"/>
          <w:szCs w:val="24"/>
          <w:lang w:val="en-US"/>
        </w:rPr>
        <w:t>Раздел в обхвата на ИСАК</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Вид на плащането</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производствени разходи въз основа на допълнителните разходи и пропуснатите приходи</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включени трансакционни разходи</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еднократно плащане</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еднократна сума</w:t>
      </w:r>
    </w:p>
    <w:p w:rsidR="00627DB9" w:rsidRPr="00627DB9" w:rsidRDefault="00627DB9" w:rsidP="00627DB9">
      <w:pPr>
        <w:spacing w:before="20" w:after="20" w:line="240" w:lineRule="auto"/>
        <w:rPr>
          <w:rFonts w:ascii="Times New Roman" w:eastAsia="Times New Roman" w:hAnsi="Times New Roman" w:cs="Times New Roman"/>
          <w:color w:val="000000"/>
          <w:sz w:val="12"/>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xml:space="preserve">По интервенцията ще се предоставя финансова помощ за допълнителни разходи и пропуснати доходи, свързани с изпълнението на доброволно поети едногодишни ангажименти по една или комбинация от дейности за хуманно отношение към животните и намаляване на антимикробната резистентност. </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lastRenderedPageBreak/>
              <w:t>Нива на подпомагане: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1. Осигуряване на благоприятна жизнена среда/свободна подова площ на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Направление - Осигуряване на благоприятна жизнена среда/свободна подова площ за ЕПЖ: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ЕПЖ над 24 м. - 91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-за говеда и биволи от 6 - 24 м. - 63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-за телета и малачета - 54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Направление - "Осигуряване на благоприятна жизнена среда/свободна подова площ за ДПЖ" - 103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2. дейност "Осигуряване на свободно отглеждане на открито":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говеда и биволи над 6-месечна възраст - 36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животни от рода на овцете и козите (ДПЖ) - 31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От 2024 г.:</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1. Осигуряване на благоприятна жизнена среда/свободна подова площ на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Направление - Осигуряване на благоприятна жизнена среда/свободна подова площ за ЕПЖ: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ЕПЖ над 24 м – 106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говеда и биволи от 6 - 24 м - 75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телета и малачета – 64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Направление - Осигуряване на благоприятна жизнена среда/свободна подова площ за ДПЖ - 111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2. Осигуряване на свободно отглеждане на открито: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говеда и биволи над 6-месечна възраст - 61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животни от рода на овцете и козите (ДПЖ) - 44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3. Намаляване употребата на антимикробни средства: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ДПЖ - 89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ЕПЖ над 24 м. - 77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ЕПЖ от 6 до 24 м. - 54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телета и малачета - 46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lastRenderedPageBreak/>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Помощта по интервенцията се отпуска за покриване на допълнителни разходи или пропуснати доходи, свързани с изпълнение на доброволни ангажименти.</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Помощта покрива само онези задължения, които надвишават задължителните стандарти и други задължителни изисквания, наложени чрез националното законодателство. Изчисленията съгласно чл. 82 от Регламент (ЕС) 2021/2115 са направени от организация, която е функционално независима от органите, отговарящи за изпълнението на стратегическия план по ОСП, и която разполага с подходящите експертни знания.</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 xml:space="preserve">Основните компоненти и променливи включени в методиката и послужили за изчисляване на компенсаторните ставки са всяка една дейност водещи до по-хуманно отношение към животните се категоризират, като: производствени, ценови, трудови, технологични и ветеринарни. Алгоритъмът на изчисляване се основава на спецификацията, че земеделските стопани прилагащи завишените изисквания за хуманно отношение търпят пропуснати ползи от намаления брой животни, които могат да отглеждат при равни други условия в техните помещения и влошената ефективност при свободно отглеждане на животните. </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 xml:space="preserve">При дейността целяща намаляване използването на антимикробни препарати се калкулират заместването на тези препарати с разширяване периметрите на ваксинация, профилактична </w:t>
            </w:r>
            <w:r w:rsidRPr="00627DB9">
              <w:rPr>
                <w:rFonts w:ascii="Times New Roman" w:eastAsia="Times New Roman" w:hAnsi="Times New Roman" w:cs="Times New Roman"/>
                <w:noProof/>
                <w:color w:val="000000"/>
                <w:sz w:val="24"/>
                <w:szCs w:val="24"/>
                <w:lang w:val="en-US"/>
              </w:rPr>
              <w:lastRenderedPageBreak/>
              <w:t xml:space="preserve">дейност и мониторинг на животните. За дейността осигуряване на свободна подова площ от 15% над минималните изисквания е направено изчисление за пропуснатите ползи и респективно приходи от намалението на животинска единица при ЕПЖ и ДПЖ с 15% и оттам за необходимата компенсация върху останалите животни. Осигуряване на свободно отглеждане на открито на ЕПЖ и ДПЖ предвижда увеличаване на броя дни годишно за пасищно отглеждане на животните. </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При дейността за намаляване използването на антимикробни препарати се калкулират не пропуснати ползи от това, че се увеличава заболеваемостта, а допълнителни разходи, които целят подобряване на профилактиката, навлизане на нови ваксинационни програми и засилване на диагностичната и превантивна грижа. Дейността изисква засилване на превенцията и контрола на риска от заболявания на ниво животновъден обект, което налага разширяване ролята на самите стопани, както и ангажиране на нови и по-големи ветеринарни грижи.</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8" w:name="_Toc256001349"/>
      <w:r w:rsidRPr="00627DB9">
        <w:rPr>
          <w:rFonts w:ascii="Times New Roman" w:eastAsia="Times New Roman" w:hAnsi="Times New Roman" w:cs="Times New Roman"/>
          <w:bCs/>
          <w:iCs/>
          <w:noProof/>
          <w:color w:val="000000"/>
          <w:sz w:val="24"/>
          <w:szCs w:val="26"/>
          <w:lang w:val="en-US"/>
        </w:rPr>
        <w:lastRenderedPageBreak/>
        <w:t>8 Информация относно оценката за държавна помощ</w:t>
      </w:r>
      <w:bookmarkEnd w:id="8"/>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Интервенцията попада извън приложното поле на член 42 от ДФЕС и подлежи на оценка за държавна помощ:</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Да      </w:t>
      </w: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Не      </w:t>
      </w: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Смесено участие      </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p>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9" w:name="_Toc256001350"/>
      <w:r w:rsidRPr="00627DB9">
        <w:rPr>
          <w:rFonts w:ascii="Times New Roman" w:eastAsia="Times New Roman" w:hAnsi="Times New Roman" w:cs="Times New Roman"/>
          <w:bCs/>
          <w:iCs/>
          <w:noProof/>
          <w:color w:val="000000"/>
          <w:sz w:val="24"/>
          <w:szCs w:val="26"/>
          <w:lang w:val="en-US"/>
        </w:rPr>
        <w:t>9 Допълнителни въпроси/информация за вида на интервенцията</w:t>
      </w:r>
      <w:bookmarkEnd w:id="9"/>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Какви са моделите на ангажимента(ите) в интервенцията?</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на база резултати (с възможност за избор)</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на база управление (с възможност за избор)</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хибридни (основани на управление и резултати)</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 xml:space="preserve">Кандидатите могат да избират да изпълняват един или комбинация от ангажименти, свързани с хуманно отношение към животните и намаляване на антимикробната резистентност. </w:t>
            </w:r>
          </w:p>
        </w:tc>
      </w:tr>
    </w:tbl>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Едногодишни ангажименти</w:t>
            </w:r>
          </w:p>
        </w:tc>
      </w:tr>
    </w:tbl>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p>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10" w:name="_Toc256001351"/>
      <w:r w:rsidRPr="00627DB9">
        <w:rPr>
          <w:rFonts w:ascii="Times New Roman" w:eastAsia="Times New Roman" w:hAnsi="Times New Roman" w:cs="Times New Roman"/>
          <w:bCs/>
          <w:iCs/>
          <w:noProof/>
          <w:color w:val="000000"/>
          <w:sz w:val="24"/>
          <w:szCs w:val="26"/>
          <w:lang w:val="en-US"/>
        </w:rPr>
        <w:t>10 Съответствие с правилата на СТО</w:t>
      </w:r>
      <w:bookmarkEnd w:id="10"/>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 xml:space="preserve"> Зелена кутия</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Параграф 12 от приложение 2 към Споразумението за СТО</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11" w:name="_Toc256001352"/>
      <w:r w:rsidRPr="00627DB9">
        <w:rPr>
          <w:rFonts w:ascii="Times New Roman" w:eastAsia="Times New Roman" w:hAnsi="Times New Roman" w:cs="Times New Roman"/>
          <w:bCs/>
          <w:iCs/>
          <w:noProof/>
          <w:color w:val="000000"/>
          <w:sz w:val="24"/>
          <w:szCs w:val="26"/>
          <w:lang w:val="en-US"/>
        </w:rPr>
        <w:t>11 Процентно участие, приложимо за тази интервенция</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Максимална ставка</w:t>
            </w:r>
          </w:p>
        </w:tc>
      </w:tr>
      <w:tr w:rsidR="00627DB9" w:rsidRPr="00627DB9" w:rsidTr="00517E0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jc w:val="right"/>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jc w:val="right"/>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jc w:val="right"/>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85,00%</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sectPr w:rsidR="00627DB9" w:rsidRPr="00627DB9">
          <w:pgSz w:w="11906" w:h="16838"/>
          <w:pgMar w:top="720" w:right="720" w:bottom="864" w:left="936" w:header="288" w:footer="72" w:gutter="0"/>
          <w:cols w:space="720"/>
          <w:noEndnote/>
          <w:docGrid w:linePitch="360"/>
        </w:sectPr>
      </w:pPr>
    </w:p>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12" w:name="_Toc256001353"/>
      <w:r w:rsidRPr="00627DB9">
        <w:rPr>
          <w:rFonts w:ascii="Times New Roman" w:eastAsia="Times New Roman" w:hAnsi="Times New Roman" w:cs="Times New Roman"/>
          <w:bCs/>
          <w:iCs/>
          <w:noProof/>
          <w:color w:val="000000"/>
          <w:sz w:val="24"/>
          <w:szCs w:val="26"/>
          <w:lang w:val="en-US"/>
        </w:rPr>
        <w:lastRenderedPageBreak/>
        <w:t>12 Планирани единични суми — определение</w:t>
      </w:r>
      <w:bookmarkEnd w:id="12"/>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6"/>
        <w:gridCol w:w="1556"/>
        <w:gridCol w:w="1394"/>
        <w:gridCol w:w="2123"/>
        <w:gridCol w:w="921"/>
        <w:gridCol w:w="1840"/>
        <w:gridCol w:w="2878"/>
      </w:tblGrid>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Единичната сума основава ли се на пренесени разходи?</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AMR DPJ - Плащане за ДПЖ за намаляване на АМР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AMR EPJ 24 - Плащане за ЕПЖ над 24 м. за намаляване на АМР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AMR EPJ 6-24 - Плащане за ЕПЖ от 6 до 24 м. за намаляване на АМР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AMR calves - Плащане за намаляване на АМР за телета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DPJ - Плащане за ДПЖ за свободна подова площ</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DPJ graze - Плащане за ДПЖ за свободно отглеждане на открито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EPJ 24 - Плащане за ЕПЖ над 24 м. за свободна подова площ</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EPJ 6-24 - Плащане за ЕПЖ от 6- 24 м. за свободна подова площ</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EPJ graze - Плащане за ЕПЖ за свободно отглеждане на открито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calves - Плащане за свободна подова площ за телета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Обяснение и обосновка, свързани с размера на единичната сума</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AMR DPJ - Плащане за ДПЖ за намаляване на АМР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AMR EPJ 24 - Плащане за ЕПЖ над 24 м. за намаляване на АМР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AMR EPJ 6-24 - Плащане за ЕПЖ от 6 до 24 м. за намаляване на АМР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lastRenderedPageBreak/>
        <w:t>AMR calves - Плащане за намаляване на АМР за телета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DPJ - Плащане за ДПЖ за свободна подова площ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DPJ graze - Плащане за ДПЖ за свободно отглеждане на открито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EPJ 24 - Плащане за ЕПЖ над 24 м. за свободна подова площ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EPJ 6-24 - Плащане за ЕПЖ от 6- 24 м. за свободна подова площ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EPJ graze - Плащане за ЕПЖ за свободно отглеждане на открито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calves - Плащане за свободна подова площ за телета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p w:rsidR="002B43C1" w:rsidRDefault="002B43C1">
      <w:bookmarkStart w:id="13" w:name="_GoBack"/>
      <w:bookmarkEnd w:id="13"/>
    </w:p>
    <w:sectPr w:rsidR="002B43C1" w:rsidSect="00627DB9">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EE1"/>
    <w:rsid w:val="002B43C1"/>
    <w:rsid w:val="003859F1"/>
    <w:rsid w:val="00627DB9"/>
    <w:rsid w:val="0077509A"/>
    <w:rsid w:val="00A15427"/>
    <w:rsid w:val="00BD7EE1"/>
    <w:rsid w:val="00DB32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9ADEEC-688F-4573-8624-CBD281B2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3248</Words>
  <Characters>18514</Characters>
  <Application>Microsoft Office Word</Application>
  <DocSecurity>0</DocSecurity>
  <Lines>154</Lines>
  <Paragraphs>43</Paragraphs>
  <ScaleCrop>false</ScaleCrop>
  <Company/>
  <LinksUpToDate>false</LinksUpToDate>
  <CharactersWithSpaces>21719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Milkana Gotseva</dc:creator>
  <cp:keywords/>
  <dc:description/>
  <cp:lastModifiedBy>Elena A. Ivanova</cp:lastModifiedBy>
  <cp:revision>6</cp:revision>
  <dcterms:created xsi:type="dcterms:W3CDTF">2025-08-11T10:00:00Z</dcterms:created>
  <dcterms:modified xsi:type="dcterms:W3CDTF">2025-08-19T15:06:00Z</dcterms:modified>
</cp:coreProperties>
</file>